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E05C48">
        <w:tc>
          <w:tcPr>
            <w:tcW w:w="3190"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175"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06"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416F15" w:rsidP="00832A12">
      <w:pPr>
        <w:suppressAutoHyphens/>
        <w:spacing w:after="0" w:line="240" w:lineRule="auto"/>
        <w:ind w:right="-3" w:firstLine="709"/>
        <w:jc w:val="both"/>
        <w:rPr>
          <w:rFonts w:ascii="Times New Roman" w:hAnsi="Times New Roman"/>
          <w:lang w:eastAsia="ru-RU"/>
        </w:rPr>
      </w:pPr>
      <w:r>
        <w:rPr>
          <w:rFonts w:ascii="Times New Roman" w:hAnsi="Times New Roman"/>
          <w:b/>
          <w:lang w:eastAsia="ar-SA"/>
        </w:rPr>
        <w:t>П</w:t>
      </w:r>
      <w:r w:rsidR="002C2C31" w:rsidRPr="00832A12">
        <w:rPr>
          <w:rFonts w:ascii="Times New Roman" w:hAnsi="Times New Roman"/>
          <w:b/>
          <w:lang w:eastAsia="ar-SA"/>
        </w:rPr>
        <w:t>АО «Башинформсвязь»</w:t>
      </w:r>
      <w:r w:rsidR="002C2C31" w:rsidRPr="00832A12">
        <w:rPr>
          <w:rFonts w:ascii="Times New Roman" w:hAnsi="Times New Roman"/>
          <w:lang w:eastAsia="ar-SA"/>
        </w:rPr>
        <w:t xml:space="preserve">, именуемое в дальнейшем «ЗАКАЗЧИК», в лице </w:t>
      </w:r>
      <w:r w:rsidR="002C2C31">
        <w:rPr>
          <w:rFonts w:ascii="Times New Roman" w:hAnsi="Times New Roman"/>
          <w:lang w:eastAsia="ar-SA"/>
        </w:rPr>
        <w:t>г</w:t>
      </w:r>
      <w:r w:rsidR="002C2C31" w:rsidRPr="00832A12">
        <w:rPr>
          <w:rFonts w:ascii="Times New Roman" w:hAnsi="Times New Roman"/>
          <w:lang w:eastAsia="ar-SA"/>
        </w:rPr>
        <w:t xml:space="preserve">енерального директора </w:t>
      </w:r>
      <w:proofErr w:type="spellStart"/>
      <w:r w:rsidR="002C2C31" w:rsidRPr="00832A12">
        <w:rPr>
          <w:rFonts w:ascii="Times New Roman" w:hAnsi="Times New Roman"/>
          <w:b/>
          <w:lang w:eastAsia="ar-SA"/>
        </w:rPr>
        <w:t>Сафеева</w:t>
      </w:r>
      <w:proofErr w:type="spellEnd"/>
      <w:r w:rsidR="002C2C31" w:rsidRPr="00832A12">
        <w:rPr>
          <w:rFonts w:ascii="Times New Roman" w:hAnsi="Times New Roman"/>
          <w:b/>
          <w:lang w:eastAsia="ar-SA"/>
        </w:rPr>
        <w:t xml:space="preserve"> Рустема </w:t>
      </w:r>
      <w:proofErr w:type="spellStart"/>
      <w:r w:rsidR="002C2C31" w:rsidRPr="00832A12">
        <w:rPr>
          <w:rFonts w:ascii="Times New Roman" w:hAnsi="Times New Roman"/>
          <w:b/>
          <w:lang w:eastAsia="ar-SA"/>
        </w:rPr>
        <w:t>Рузбековича</w:t>
      </w:r>
      <w:proofErr w:type="spellEnd"/>
      <w:r w:rsidR="002C2C31"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002C2C31" w:rsidRPr="00445663">
        <w:rPr>
          <w:rFonts w:ascii="Times New Roman" w:hAnsi="Times New Roman"/>
          <w:b/>
        </w:rPr>
        <w:t>,</w:t>
      </w:r>
      <w:r w:rsidR="00B50859">
        <w:rPr>
          <w:rFonts w:ascii="Times New Roman" w:hAnsi="Times New Roman"/>
        </w:rPr>
        <w:t xml:space="preserve"> именуемое в дальнейшем «</w:t>
      </w:r>
      <w:r w:rsidR="002C2C31"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002C2C31" w:rsidRPr="00832A12">
        <w:rPr>
          <w:rFonts w:ascii="Times New Roman" w:hAnsi="Times New Roman"/>
          <w:lang w:eastAsia="ar-SA"/>
        </w:rPr>
        <w:t xml:space="preserve">, с другой стороны, заключили настоящий договор подряда на </w:t>
      </w:r>
      <w:r w:rsidR="002C2C31"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E05C48">
      <w:pPr>
        <w:suppressAutoHyphens/>
        <w:spacing w:after="0" w:line="240" w:lineRule="auto"/>
        <w:ind w:right="-6"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B82615" w:rsidRDefault="00B82615" w:rsidP="00E05C48">
      <w:pPr>
        <w:suppressAutoHyphens/>
        <w:spacing w:after="0" w:line="240" w:lineRule="auto"/>
        <w:ind w:right="-6"/>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207A83" w:rsidRPr="00B82615">
        <w:rPr>
          <w:rFonts w:ascii="Times New Roman" w:hAnsi="Times New Roman"/>
        </w:rPr>
        <w:t xml:space="preserve"> в </w:t>
      </w:r>
      <w:r w:rsidR="004F0E1E">
        <w:rPr>
          <w:rFonts w:ascii="Times New Roman" w:hAnsi="Times New Roman"/>
        </w:rPr>
        <w:t>____________________</w:t>
      </w:r>
      <w:r w:rsidR="00207A83" w:rsidRPr="00B82615">
        <w:rPr>
          <w:rFonts w:ascii="Times New Roman" w:hAnsi="Times New Roman"/>
        </w:rPr>
        <w:t xml:space="preserve"> </w:t>
      </w:r>
      <w:proofErr w:type="spellStart"/>
      <w:r w:rsidR="00D33B91" w:rsidRPr="00B82615">
        <w:rPr>
          <w:rFonts w:ascii="Times New Roman" w:eastAsia="Times New Roman" w:hAnsi="Times New Roman"/>
          <w:lang w:eastAsia="ru-RU"/>
        </w:rPr>
        <w:t>в</w:t>
      </w:r>
      <w:proofErr w:type="spellEnd"/>
      <w:r w:rsidR="00D33B91" w:rsidRPr="00B82615">
        <w:rPr>
          <w:rFonts w:ascii="Times New Roman" w:eastAsia="Times New Roman" w:hAnsi="Times New Roman"/>
          <w:lang w:eastAsia="ru-RU"/>
        </w:rPr>
        <w:t xml:space="preserve"> количестве</w:t>
      </w:r>
      <w:r w:rsidR="00B50859" w:rsidRPr="00B82615">
        <w:rPr>
          <w:rFonts w:ascii="Times New Roman" w:hAnsi="Times New Roman"/>
        </w:rPr>
        <w:t xml:space="preserve"> </w:t>
      </w:r>
      <w:r w:rsidR="004F0E1E">
        <w:rPr>
          <w:rFonts w:ascii="Times New Roman" w:hAnsi="Times New Roman"/>
        </w:rPr>
        <w:t>________</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512520"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r>
      <w:r w:rsidR="00512520">
        <w:rPr>
          <w:rFonts w:ascii="Times New Roman" w:hAnsi="Times New Roman"/>
          <w:lang w:eastAsia="ar-SA"/>
        </w:rPr>
        <w:t>Подрядчик составляет ППР и согласовывает с Заказчиком в срок до 5-ти дней с момента заключения Договора.</w:t>
      </w:r>
    </w:p>
    <w:p w:rsidR="002C2C31" w:rsidRPr="00F46346" w:rsidRDefault="00512520"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3.2. </w:t>
      </w:r>
      <w:r w:rsidR="002C2C31" w:rsidRPr="00832A12">
        <w:rPr>
          <w:rFonts w:ascii="Times New Roman" w:hAnsi="Times New Roman"/>
          <w:lang w:eastAsia="ar-SA"/>
        </w:rPr>
        <w:t xml:space="preserve">Выполнять все работы в объёме и в сроки, предусмотренные в настоящем договоре, сдать работы Заказчику в состоянии, </w:t>
      </w:r>
      <w:r w:rsidR="002C2C31"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002C2C31" w:rsidRPr="008F333F">
        <w:rPr>
          <w:rFonts w:ascii="Times New Roman" w:hAnsi="Times New Roman"/>
          <w:lang w:eastAsia="ar-SA"/>
        </w:rPr>
        <w:t>.</w:t>
      </w:r>
    </w:p>
    <w:p w:rsidR="002C2C31" w:rsidRPr="00F46346" w:rsidRDefault="00512520"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3.3</w:t>
      </w:r>
      <w:r w:rsidR="002C2C31" w:rsidRPr="00F46346">
        <w:rPr>
          <w:rFonts w:ascii="Times New Roman" w:hAnsi="Times New Roman"/>
          <w:lang w:eastAsia="ar-SA"/>
        </w:rPr>
        <w:t>.</w:t>
      </w:r>
      <w:r w:rsidR="002C2C31"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00512520">
        <w:rPr>
          <w:rFonts w:ascii="Times New Roman" w:hAnsi="Times New Roman"/>
          <w:lang w:eastAsia="ar-SA"/>
        </w:rPr>
        <w:t xml:space="preserve">     3.4</w:t>
      </w:r>
      <w:r w:rsidRPr="00F46346">
        <w:rPr>
          <w:rFonts w:ascii="Times New Roman" w:hAnsi="Times New Roman"/>
          <w:lang w:eastAsia="ar-SA"/>
        </w:rPr>
        <w:t xml:space="preserve">.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r w:rsidR="005210BF">
        <w:rPr>
          <w:rFonts w:ascii="Times New Roman" w:hAnsi="Times New Roman"/>
          <w:lang w:eastAsia="ru-RU"/>
        </w:rPr>
        <w:t xml:space="preserve"> м передать Заказчику</w:t>
      </w:r>
      <w:r w:rsidRPr="00F46346">
        <w:rPr>
          <w:rFonts w:ascii="Times New Roman" w:hAnsi="Times New Roman"/>
          <w:lang w:eastAsia="ru-RU"/>
        </w:rPr>
        <w:t>.</w:t>
      </w:r>
    </w:p>
    <w:p w:rsidR="002C2C31" w:rsidRPr="00832A12" w:rsidRDefault="00512520"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w:t>
      </w:r>
      <w:r w:rsidR="002C2C31"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512520">
        <w:rPr>
          <w:rFonts w:ascii="Times New Roman" w:hAnsi="Times New Roman"/>
          <w:lang w:eastAsia="ar-SA"/>
        </w:rPr>
        <w:t>6</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512520">
        <w:rPr>
          <w:rFonts w:ascii="Times New Roman" w:hAnsi="Times New Roman"/>
          <w:lang w:eastAsia="ar-SA"/>
        </w:rPr>
        <w:t>7</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6A4E4F" w:rsidRPr="0006061B" w:rsidRDefault="00512520"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3.8</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512520">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w:t>
      </w:r>
      <w:proofErr w:type="spellStart"/>
      <w:r>
        <w:rPr>
          <w:rFonts w:ascii="Times New Roman" w:hAnsi="Times New Roman"/>
          <w:lang w:eastAsia="ar-SA"/>
        </w:rPr>
        <w:t>п</w:t>
      </w:r>
      <w:r w:rsidR="004F0E1E">
        <w:rPr>
          <w:rFonts w:ascii="Times New Roman" w:hAnsi="Times New Roman"/>
          <w:lang w:eastAsia="ar-SA"/>
        </w:rPr>
        <w:t>п</w:t>
      </w:r>
      <w:proofErr w:type="spellEnd"/>
      <w:r>
        <w:rPr>
          <w:rFonts w:ascii="Times New Roman" w:hAnsi="Times New Roman"/>
          <w:lang w:eastAsia="ar-SA"/>
        </w:rPr>
        <w:t xml:space="preserve">. </w:t>
      </w:r>
      <w:r w:rsidR="004F0E1E">
        <w:rPr>
          <w:rFonts w:ascii="Times New Roman" w:hAnsi="Times New Roman"/>
          <w:lang w:eastAsia="ar-SA"/>
        </w:rPr>
        <w:t>3.</w:t>
      </w:r>
      <w:r w:rsidR="009143AC">
        <w:rPr>
          <w:rFonts w:ascii="Times New Roman" w:hAnsi="Times New Roman"/>
          <w:lang w:eastAsia="ar-SA"/>
        </w:rPr>
        <w:t>3</w:t>
      </w:r>
      <w:r w:rsidR="004F0E1E">
        <w:rPr>
          <w:rFonts w:ascii="Times New Roman" w:hAnsi="Times New Roman"/>
          <w:lang w:eastAsia="ar-SA"/>
        </w:rPr>
        <w:t xml:space="preserve">., </w:t>
      </w:r>
      <w:r>
        <w:rPr>
          <w:rFonts w:ascii="Times New Roman" w:hAnsi="Times New Roman"/>
          <w:lang w:eastAsia="ar-SA"/>
        </w:rPr>
        <w:t>3.</w:t>
      </w:r>
      <w:r w:rsidR="009143AC">
        <w:rPr>
          <w:rFonts w:ascii="Times New Roman" w:hAnsi="Times New Roman"/>
          <w:lang w:eastAsia="ar-SA"/>
        </w:rPr>
        <w:t>4</w:t>
      </w:r>
      <w:r>
        <w:rPr>
          <w:rFonts w:ascii="Times New Roman" w:hAnsi="Times New Roman"/>
          <w:lang w:eastAsia="ar-SA"/>
        </w:rPr>
        <w:t>.</w:t>
      </w:r>
      <w:r w:rsidR="006A4E4F">
        <w:rPr>
          <w:rFonts w:ascii="Times New Roman" w:hAnsi="Times New Roman"/>
          <w:lang w:eastAsia="ar-SA"/>
        </w:rPr>
        <w:t>, 3.</w:t>
      </w:r>
      <w:r w:rsidR="009143AC">
        <w:rPr>
          <w:rFonts w:ascii="Times New Roman" w:hAnsi="Times New Roman"/>
          <w:lang w:eastAsia="ar-SA"/>
        </w:rPr>
        <w:t>8</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дчиком сроков выполнения работ</w:t>
      </w:r>
      <w:r w:rsidR="005210BF">
        <w:rPr>
          <w:rFonts w:ascii="Times New Roman" w:hAnsi="Times New Roman"/>
          <w:lang w:eastAsia="ar-SA"/>
        </w:rPr>
        <w:t>, предусмотренных План-графиком (Приложение №5),</w:t>
      </w:r>
      <w:r w:rsidR="00B50859">
        <w:rPr>
          <w:rFonts w:ascii="Times New Roman" w:hAnsi="Times New Roman"/>
          <w:lang w:eastAsia="ar-SA"/>
        </w:rPr>
        <w:t xml:space="preserve">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w:t>
      </w:r>
      <w:r w:rsidR="005210BF">
        <w:rPr>
          <w:rFonts w:ascii="Times New Roman" w:hAnsi="Times New Roman"/>
          <w:lang w:eastAsia="ar-SA"/>
        </w:rPr>
        <w:t xml:space="preserve"> внесудебном</w:t>
      </w:r>
      <w:r w:rsidRPr="00832A12">
        <w:rPr>
          <w:rFonts w:ascii="Times New Roman" w:hAnsi="Times New Roman"/>
          <w:lang w:eastAsia="ar-SA"/>
        </w:rPr>
        <w:t xml:space="preserve"> порядке</w:t>
      </w:r>
      <w:r w:rsidR="005210BF">
        <w:rPr>
          <w:rFonts w:ascii="Times New Roman" w:hAnsi="Times New Roman"/>
          <w:lang w:eastAsia="ar-SA"/>
        </w:rPr>
        <w:t>, в соответствии с п. 9.3</w:t>
      </w:r>
      <w:r w:rsidRPr="00832A12">
        <w:rPr>
          <w:rFonts w:ascii="Times New Roman" w:hAnsi="Times New Roman"/>
          <w:lang w:eastAsia="ar-SA"/>
        </w:rPr>
        <w:t>.</w:t>
      </w:r>
      <w:r w:rsidR="005210BF">
        <w:rPr>
          <w:rFonts w:ascii="Times New Roman" w:hAnsi="Times New Roman"/>
          <w:lang w:eastAsia="ar-SA"/>
        </w:rPr>
        <w:t xml:space="preserve"> настоящего Договора.</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E05C48">
        <w:rPr>
          <w:rFonts w:ascii="Times New Roman" w:hAnsi="Times New Roman"/>
          <w:lang w:eastAsia="ar-SA"/>
        </w:rPr>
        <w:t>____________</w:t>
      </w:r>
      <w:r w:rsidR="006C397A">
        <w:rPr>
          <w:rFonts w:ascii="Times New Roman" w:hAnsi="Times New Roman"/>
          <w:lang w:eastAsia="ar-SA"/>
        </w:rPr>
        <w:t xml:space="preserve">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5210BF"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6.3. Окончательный расчет про</w:t>
      </w:r>
      <w:r w:rsidR="005210BF">
        <w:rPr>
          <w:rFonts w:ascii="Times New Roman" w:hAnsi="Times New Roman"/>
          <w:lang w:eastAsia="ar-SA"/>
        </w:rPr>
        <w:t xml:space="preserve">изводится Заказчиком в течение </w:t>
      </w:r>
      <w:r w:rsidR="00E05C48">
        <w:rPr>
          <w:rFonts w:ascii="Times New Roman" w:hAnsi="Times New Roman"/>
          <w:lang w:eastAsia="ar-SA"/>
        </w:rPr>
        <w:t>___</w:t>
      </w:r>
      <w:proofErr w:type="gramStart"/>
      <w:r w:rsidR="00E05C48">
        <w:rPr>
          <w:rFonts w:ascii="Times New Roman" w:hAnsi="Times New Roman"/>
          <w:lang w:eastAsia="ar-SA"/>
        </w:rPr>
        <w:t>_</w:t>
      </w:r>
      <w:r w:rsidRPr="006B6B99">
        <w:rPr>
          <w:rFonts w:ascii="Times New Roman" w:hAnsi="Times New Roman"/>
          <w:lang w:eastAsia="ar-SA"/>
        </w:rPr>
        <w:t>-</w:t>
      </w:r>
      <w:proofErr w:type="spellStart"/>
      <w:proofErr w:type="gramEnd"/>
      <w:r w:rsidRPr="006B6B99">
        <w:rPr>
          <w:rFonts w:ascii="Times New Roman" w:hAnsi="Times New Roman"/>
          <w:lang w:eastAsia="ar-SA"/>
        </w:rPr>
        <w:t>ти</w:t>
      </w:r>
      <w:proofErr w:type="spellEnd"/>
      <w:r w:rsidRPr="006B6B99">
        <w:rPr>
          <w:rFonts w:ascii="Times New Roman" w:hAnsi="Times New Roman"/>
          <w:lang w:eastAsia="ar-SA"/>
        </w:rPr>
        <w:t xml:space="preserve"> </w:t>
      </w:r>
      <w:r w:rsidR="005210BF">
        <w:rPr>
          <w:rFonts w:ascii="Times New Roman" w:hAnsi="Times New Roman"/>
          <w:lang w:eastAsia="ar-SA"/>
        </w:rPr>
        <w:t>календарных</w:t>
      </w:r>
      <w:r w:rsidRPr="006B6B99">
        <w:rPr>
          <w:rFonts w:ascii="Times New Roman" w:hAnsi="Times New Roman"/>
          <w:lang w:eastAsia="ar-SA"/>
        </w:rPr>
        <w:t xml:space="preserve">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w:t>
      </w:r>
      <w:r w:rsidRPr="006B6B99">
        <w:rPr>
          <w:rFonts w:ascii="Times New Roman" w:hAnsi="Times New Roman"/>
          <w:lang w:eastAsia="ar-SA"/>
        </w:rPr>
        <w:lastRenderedPageBreak/>
        <w:t>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w:t>
      </w:r>
    </w:p>
    <w:p w:rsidR="00D33B91" w:rsidRPr="006B6B99" w:rsidRDefault="005210BF" w:rsidP="00D33B91">
      <w:pPr>
        <w:spacing w:after="0" w:line="240" w:lineRule="auto"/>
        <w:ind w:firstLine="709"/>
        <w:jc w:val="both"/>
        <w:rPr>
          <w:rFonts w:ascii="Times New Roman" w:hAnsi="Times New Roman"/>
          <w:lang w:eastAsia="ar-SA"/>
        </w:rPr>
      </w:pPr>
      <w:r>
        <w:rPr>
          <w:rFonts w:ascii="Times New Roman" w:hAnsi="Times New Roman"/>
          <w:lang w:eastAsia="ar-SA"/>
        </w:rPr>
        <w:t xml:space="preserve">6.4. </w:t>
      </w:r>
      <w:r w:rsidRPr="00660107">
        <w:rPr>
          <w:rFonts w:ascii="Times New Roman" w:hAnsi="Times New Roman"/>
          <w:lang w:eastAsia="ar-SA"/>
        </w:rPr>
        <w:t>Настоящим Стороны договорились, что проценты за пользование денежными средствами по денежным обязательствам Заказчика перед Подрядчиком, предусмотренные ст. 317.1, 823 Гражданского кодекса Российской Федерации, Подрядчику  Заказчиком не уплачиваются</w:t>
      </w:r>
      <w:r>
        <w:rPr>
          <w:rFonts w:ascii="Times New Roman" w:hAnsi="Times New Roman"/>
          <w:lang w:eastAsia="ar-SA"/>
        </w:rPr>
        <w:t>.</w:t>
      </w:r>
      <w:r w:rsidR="00D33B91"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w:t>
      </w:r>
      <w:r w:rsidR="009143AC">
        <w:rPr>
          <w:sz w:val="22"/>
          <w:szCs w:val="22"/>
        </w:rPr>
        <w:t>П</w:t>
      </w:r>
      <w:r w:rsidRPr="006C397A">
        <w:rPr>
          <w:sz w:val="22"/>
          <w:szCs w:val="22"/>
        </w:rPr>
        <w:t xml:space="preserve">АО «Башинформсвязь» общий журнал работ (по форме КС-6) и журнал учета выполненных работ (по форме КС-6а) в формате </w:t>
      </w:r>
      <w:proofErr w:type="spellStart"/>
      <w:r w:rsidRPr="006C397A">
        <w:rPr>
          <w:sz w:val="22"/>
          <w:szCs w:val="22"/>
        </w:rPr>
        <w:t>Excel</w:t>
      </w:r>
      <w:proofErr w:type="spellEnd"/>
      <w:r w:rsidRPr="006C397A">
        <w:rPr>
          <w:sz w:val="22"/>
          <w:szCs w:val="22"/>
        </w:rPr>
        <w:t xml:space="preserve"> (без подписи) на E-</w:t>
      </w:r>
      <w:proofErr w:type="spellStart"/>
      <w:r w:rsidRPr="006C397A">
        <w:rPr>
          <w:sz w:val="22"/>
          <w:szCs w:val="22"/>
        </w:rPr>
        <w:t>mail</w:t>
      </w:r>
      <w:proofErr w:type="spellEnd"/>
      <w:r w:rsidRPr="006C397A">
        <w:rPr>
          <w:sz w:val="22"/>
          <w:szCs w:val="22"/>
        </w:rPr>
        <w:t xml:space="preserve">: </w:t>
      </w:r>
      <w:hyperlink r:id="rId9"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w:t>
      </w:r>
      <w:r w:rsidR="009143AC">
        <w:rPr>
          <w:rFonts w:ascii="Times New Roman" w:hAnsi="Times New Roman"/>
        </w:rPr>
        <w:t>бъекта письменное уведомление о полном</w:t>
      </w:r>
      <w:r w:rsidRPr="00E252B5">
        <w:rPr>
          <w:rFonts w:ascii="Times New Roman" w:hAnsi="Times New Roman"/>
        </w:rPr>
        <w:t xml:space="preserve"> окончании строительства</w:t>
      </w:r>
      <w:proofErr w:type="gramStart"/>
      <w:r w:rsidRPr="00E252B5">
        <w:rPr>
          <w:rFonts w:ascii="Times New Roman" w:hAnsi="Times New Roman"/>
        </w:rPr>
        <w:t xml:space="preserve"> </w:t>
      </w:r>
      <w:r w:rsidR="009143AC">
        <w:rPr>
          <w:rFonts w:ascii="Times New Roman" w:hAnsi="Times New Roman"/>
        </w:rPr>
        <w:t>,</w:t>
      </w:r>
      <w:proofErr w:type="gramEnd"/>
      <w:r w:rsidR="009143AC">
        <w:rPr>
          <w:rFonts w:ascii="Times New Roman" w:hAnsi="Times New Roman"/>
        </w:rPr>
        <w:t xml:space="preserve"> завершении всех работ по Договору </w:t>
      </w:r>
      <w:r w:rsidRPr="00E252B5">
        <w:rPr>
          <w:rFonts w:ascii="Times New Roman" w:hAnsi="Times New Roman"/>
        </w:rPr>
        <w:t>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r w:rsidR="009143AC">
        <w:rPr>
          <w:rFonts w:ascii="Times New Roman" w:hAnsi="Times New Roman"/>
        </w:rPr>
        <w:t xml:space="preserve"> </w:t>
      </w:r>
    </w:p>
    <w:p w:rsidR="009143AC" w:rsidRPr="00E252B5" w:rsidRDefault="009143AC" w:rsidP="00AA4014">
      <w:pPr>
        <w:pStyle w:val="af2"/>
        <w:jc w:val="both"/>
        <w:rPr>
          <w:rFonts w:ascii="Times New Roman" w:hAnsi="Times New Roman"/>
        </w:rPr>
      </w:pPr>
      <w:r>
        <w:rPr>
          <w:rFonts w:ascii="Times New Roman" w:hAnsi="Times New Roman"/>
        </w:rPr>
        <w:t xml:space="preserve">Промежуточные результаты работ по Договору Подрядчик сдаёт в соответствии со сроками, указанными в  Плане-графике (Приложение № 5), с оформлением </w:t>
      </w:r>
      <w:r w:rsidRPr="00E01DEE">
        <w:rPr>
          <w:rFonts w:ascii="Times New Roman" w:hAnsi="Times New Roman"/>
          <w:lang w:eastAsia="ar-SA"/>
        </w:rPr>
        <w:t xml:space="preserve"> </w:t>
      </w:r>
      <w:r>
        <w:rPr>
          <w:rFonts w:ascii="Times New Roman" w:hAnsi="Times New Roman"/>
          <w:lang w:eastAsia="ar-SA"/>
        </w:rPr>
        <w:t>А</w:t>
      </w:r>
      <w:r w:rsidRPr="006F33BA">
        <w:rPr>
          <w:rFonts w:ascii="Times New Roman" w:hAnsi="Times New Roman"/>
          <w:lang w:eastAsia="ar-SA"/>
        </w:rPr>
        <w:t>кт</w:t>
      </w:r>
      <w:r>
        <w:rPr>
          <w:rFonts w:ascii="Times New Roman" w:hAnsi="Times New Roman"/>
          <w:lang w:eastAsia="ar-SA"/>
        </w:rPr>
        <w:t>ов</w:t>
      </w:r>
      <w:r w:rsidRPr="006F33BA">
        <w:rPr>
          <w:rFonts w:ascii="Times New Roman" w:hAnsi="Times New Roman"/>
          <w:lang w:eastAsia="ar-SA"/>
        </w:rPr>
        <w:t xml:space="preserve">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r>
        <w:rPr>
          <w:rFonts w:ascii="Times New Roman" w:hAnsi="Times New Roman"/>
          <w:lang w:eastAsia="ar-SA"/>
        </w:rPr>
        <w:t>. Оплата промежуточных результатов работ осуществляется в соответствии с  разделом  6 настоящего Договора</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w:t>
      </w:r>
      <w:r w:rsidRPr="00E252B5">
        <w:rPr>
          <w:rFonts w:ascii="Times New Roman" w:hAnsi="Times New Roman"/>
        </w:rPr>
        <w:lastRenderedPageBreak/>
        <w:t>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w:t>
      </w:r>
      <w:r w:rsidR="009143AC">
        <w:rPr>
          <w:rFonts w:ascii="Times New Roman" w:hAnsi="Times New Roman"/>
          <w:lang w:eastAsia="ar-SA"/>
        </w:rPr>
        <w:t>но-сметной документацией</w:t>
      </w:r>
      <w:r w:rsidRPr="00832A12">
        <w:rPr>
          <w:rFonts w:ascii="Times New Roman" w:hAnsi="Times New Roman"/>
          <w:lang w:eastAsia="ar-SA"/>
        </w:rPr>
        <w:t>;</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9143AC" w:rsidRPr="009143AC" w:rsidRDefault="009143AC" w:rsidP="00832A12">
      <w:pPr>
        <w:suppressAutoHyphens/>
        <w:spacing w:after="0" w:line="240" w:lineRule="auto"/>
        <w:ind w:right="-3"/>
        <w:jc w:val="both"/>
        <w:rPr>
          <w:rFonts w:ascii="Times New Roman" w:hAnsi="Times New Roman"/>
          <w:lang w:eastAsia="ar-SA"/>
        </w:rPr>
      </w:pPr>
      <w:r>
        <w:rPr>
          <w:rFonts w:ascii="Times New Roman" w:hAnsi="Times New Roman"/>
          <w:lang w:eastAsia="ar-SA"/>
        </w:rPr>
        <w:t xml:space="preserve">- </w:t>
      </w:r>
      <w:r w:rsidRPr="00832A12">
        <w:rPr>
          <w:rFonts w:ascii="Times New Roman" w:hAnsi="Times New Roman"/>
          <w:lang w:eastAsia="ar-SA"/>
        </w:rPr>
        <w:t>нарушения Подря</w:t>
      </w:r>
      <w:r>
        <w:rPr>
          <w:rFonts w:ascii="Times New Roman" w:hAnsi="Times New Roman"/>
          <w:lang w:eastAsia="ar-SA"/>
        </w:rPr>
        <w:t xml:space="preserve">дчиком сроков выполнения работ, предусмотренных </w:t>
      </w:r>
      <w:proofErr w:type="gramStart"/>
      <w:r>
        <w:rPr>
          <w:rFonts w:ascii="Times New Roman" w:hAnsi="Times New Roman"/>
          <w:lang w:eastAsia="ar-SA"/>
        </w:rPr>
        <w:t>План-графиком</w:t>
      </w:r>
      <w:proofErr w:type="gramEnd"/>
      <w:r>
        <w:rPr>
          <w:rFonts w:ascii="Times New Roman" w:hAnsi="Times New Roman"/>
          <w:lang w:eastAsia="ar-SA"/>
        </w:rPr>
        <w:t xml:space="preserve"> (Приложение № 5),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w:t>
      </w:r>
      <w:r>
        <w:rPr>
          <w:rFonts w:ascii="Times New Roman" w:hAnsi="Times New Roman"/>
          <w:lang w:eastAsia="ar-SA"/>
        </w:rPr>
        <w:t>;</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9143AC" w:rsidRPr="00832A12" w:rsidRDefault="009143AC" w:rsidP="00832A12">
      <w:pPr>
        <w:autoSpaceDE w:val="0"/>
        <w:autoSpaceDN w:val="0"/>
        <w:adjustRightInd w:val="0"/>
        <w:spacing w:after="0" w:line="240" w:lineRule="auto"/>
        <w:ind w:right="-3"/>
        <w:jc w:val="both"/>
        <w:rPr>
          <w:rFonts w:ascii="Times New Roman" w:hAnsi="Times New Roman"/>
          <w:lang w:eastAsia="ru-RU"/>
        </w:rPr>
      </w:pPr>
      <w:r>
        <w:rPr>
          <w:rFonts w:ascii="Times New Roman" w:hAnsi="Times New Roman"/>
          <w:lang w:eastAsia="ru-RU"/>
        </w:rPr>
        <w:t>В указанных в настоящем пункте случаях Договор считается расторгнутым по истечении 10 рабочих дней с даты получения Подрядчиком от Заказчика письменного уведомления о расторжении Договора</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6F33BA">
        <w:rPr>
          <w:rFonts w:ascii="Times New Roman" w:hAnsi="Times New Roman"/>
        </w:rPr>
        <w:lastRenderedPageBreak/>
        <w:t>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9143AC" w:rsidP="00DB3CB1">
      <w:pPr>
        <w:pStyle w:val="af2"/>
        <w:rPr>
          <w:rFonts w:ascii="Times New Roman" w:hAnsi="Times New Roman"/>
        </w:rPr>
      </w:pPr>
      <w:r>
        <w:rPr>
          <w:rFonts w:ascii="Times New Roman" w:hAnsi="Times New Roman"/>
        </w:rPr>
        <w:t>П</w:t>
      </w:r>
      <w:r w:rsidR="00DB3CB1" w:rsidRPr="00E864D7">
        <w:rPr>
          <w:rFonts w:ascii="Times New Roman" w:hAnsi="Times New Roman"/>
        </w:rPr>
        <w:t>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proofErr w:type="gramStart"/>
      <w:r w:rsidRPr="00E864D7">
        <w:rPr>
          <w:rFonts w:ascii="Times New Roman" w:hAnsi="Times New Roman"/>
          <w:bCs/>
        </w:rPr>
        <w:t>р</w:t>
      </w:r>
      <w:proofErr w:type="gramEnd"/>
      <w:r w:rsidRPr="00E864D7">
        <w:rPr>
          <w:rFonts w:ascii="Times New Roman" w:hAnsi="Times New Roman"/>
          <w:bCs/>
        </w:rPr>
        <w:t>/с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proofErr w:type="gramStart"/>
      <w:r w:rsidRPr="00E864D7">
        <w:rPr>
          <w:rFonts w:ascii="Times New Roman" w:hAnsi="Times New Roman"/>
        </w:rPr>
        <w:t>Кор./счет</w:t>
      </w:r>
      <w:proofErr w:type="gramEnd"/>
      <w:r w:rsidRPr="00E864D7">
        <w:rPr>
          <w:rFonts w:ascii="Times New Roman" w:hAnsi="Times New Roman"/>
        </w:rPr>
        <w:t xml:space="preserve"> 30 101 810 200000000824  в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bookmarkStart w:id="0" w:name="_GoBack"/>
      <w:bookmarkEnd w:id="0"/>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9143AC" w:rsidP="00E109F6">
      <w:pPr>
        <w:spacing w:after="0"/>
        <w:ind w:right="-3" w:firstLine="709"/>
        <w:jc w:val="center"/>
        <w:rPr>
          <w:rFonts w:ascii="Times New Roman" w:hAnsi="Times New Roman"/>
        </w:rPr>
      </w:pPr>
      <w:r>
        <w:rPr>
          <w:rFonts w:ascii="Times New Roman" w:hAnsi="Times New Roman"/>
        </w:rPr>
        <w:t>на ВОЛС П</w:t>
      </w:r>
      <w:r w:rsidR="002C2C31" w:rsidRPr="00641A98">
        <w:rPr>
          <w:rFonts w:ascii="Times New Roman" w:hAnsi="Times New Roman"/>
        </w:rPr>
        <w:t>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9143AC" w:rsidP="006234F8">
            <w:pPr>
              <w:spacing w:after="0"/>
              <w:ind w:firstLine="709"/>
              <w:jc w:val="both"/>
              <w:rPr>
                <w:rFonts w:ascii="Times New Roman" w:hAnsi="Times New Roman"/>
              </w:rPr>
            </w:pPr>
            <w:r>
              <w:rPr>
                <w:rFonts w:ascii="Times New Roman" w:hAnsi="Times New Roman"/>
              </w:rPr>
              <w:t>П</w:t>
            </w:r>
            <w:r w:rsidR="002C2C31" w:rsidRPr="003B6DC6">
              <w:rPr>
                <w:rFonts w:ascii="Times New Roman" w:hAnsi="Times New Roman"/>
              </w:rPr>
              <w:t>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9143AC" w:rsidP="00FB60BF">
                  <w:pPr>
                    <w:suppressAutoHyphens/>
                    <w:spacing w:after="0" w:line="240" w:lineRule="auto"/>
                    <w:jc w:val="both"/>
                    <w:rPr>
                      <w:rFonts w:ascii="Times New Roman" w:eastAsia="Times New Roman" w:hAnsi="Times New Roman"/>
                      <w:lang w:eastAsia="ar-SA"/>
                    </w:rPr>
                  </w:pPr>
                  <w:r>
                    <w:rPr>
                      <w:rFonts w:ascii="Times New Roman" w:eastAsia="Times New Roman" w:hAnsi="Times New Roman"/>
                      <w:lang w:eastAsia="ar-SA"/>
                    </w:rPr>
                    <w:t>П</w:t>
                  </w:r>
                  <w:r w:rsidR="00FB60BF" w:rsidRPr="00FB60BF">
                    <w:rPr>
                      <w:rFonts w:ascii="Times New Roman" w:eastAsia="Times New Roman" w:hAnsi="Times New Roman"/>
                      <w:lang w:eastAsia="ar-SA"/>
                    </w:rPr>
                    <w:t>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E05C48">
      <w:footerReference w:type="default" r:id="rId10"/>
      <w:pgSz w:w="11906" w:h="16838"/>
      <w:pgMar w:top="567" w:right="851" w:bottom="62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F0B" w:rsidRDefault="00DB6F0B" w:rsidP="00771EB0">
      <w:pPr>
        <w:spacing w:after="0" w:line="240" w:lineRule="auto"/>
      </w:pPr>
      <w:r>
        <w:separator/>
      </w:r>
    </w:p>
  </w:endnote>
  <w:endnote w:type="continuationSeparator" w:id="0">
    <w:p w:rsidR="00DB6F0B" w:rsidRDefault="00DB6F0B"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E05C4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05C48">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F0B" w:rsidRDefault="00DB6F0B" w:rsidP="00771EB0">
      <w:pPr>
        <w:spacing w:after="0" w:line="240" w:lineRule="auto"/>
      </w:pPr>
      <w:r>
        <w:separator/>
      </w:r>
    </w:p>
  </w:footnote>
  <w:footnote w:type="continuationSeparator" w:id="0">
    <w:p w:rsidR="00DB6F0B" w:rsidRDefault="00DB6F0B"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903D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16F15"/>
    <w:rsid w:val="0044460E"/>
    <w:rsid w:val="00445663"/>
    <w:rsid w:val="00445AA7"/>
    <w:rsid w:val="0049045E"/>
    <w:rsid w:val="004962FC"/>
    <w:rsid w:val="004B35EB"/>
    <w:rsid w:val="004E5FC1"/>
    <w:rsid w:val="004F0E1E"/>
    <w:rsid w:val="00512520"/>
    <w:rsid w:val="005210BF"/>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4023C"/>
    <w:rsid w:val="00855126"/>
    <w:rsid w:val="008613A5"/>
    <w:rsid w:val="008913B0"/>
    <w:rsid w:val="008A3EAF"/>
    <w:rsid w:val="008F03E0"/>
    <w:rsid w:val="008F333F"/>
    <w:rsid w:val="008F58B8"/>
    <w:rsid w:val="009143AC"/>
    <w:rsid w:val="009578C9"/>
    <w:rsid w:val="00961395"/>
    <w:rsid w:val="00995621"/>
    <w:rsid w:val="009A015B"/>
    <w:rsid w:val="009B0423"/>
    <w:rsid w:val="009C287D"/>
    <w:rsid w:val="009C2AFA"/>
    <w:rsid w:val="009E4D02"/>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B3CB1"/>
    <w:rsid w:val="00DB6F0B"/>
    <w:rsid w:val="00DE645D"/>
    <w:rsid w:val="00E05C48"/>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hajretdinov@bashte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47389-2088-44CE-9F20-CC8E70AE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3111</Words>
  <Characters>17734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3</cp:revision>
  <cp:lastPrinted>2015-03-20T06:44:00Z</cp:lastPrinted>
  <dcterms:created xsi:type="dcterms:W3CDTF">2015-09-16T03:36:00Z</dcterms:created>
  <dcterms:modified xsi:type="dcterms:W3CDTF">2015-09-16T05:10:00Z</dcterms:modified>
</cp:coreProperties>
</file>